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4276" w14:textId="5878D41D" w:rsidR="00625B7B" w:rsidRDefault="00625B7B" w:rsidP="003835AC">
      <w:pPr>
        <w:spacing w:after="0" w:line="48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51C7719A" wp14:editId="6B5E11C9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Załącznik nr 2 </w:t>
      </w:r>
    </w:p>
    <w:p w14:paraId="08EF736D" w14:textId="77777777" w:rsidR="003835AC" w:rsidRPr="00BB447F" w:rsidRDefault="00777543" w:rsidP="00BB447F">
      <w:pPr>
        <w:pStyle w:val="Nagwek1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r w:rsidRPr="00BB447F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WSTĘPNY OPIS PRZEDMIOTU ZAMÓWIENIA</w:t>
      </w:r>
    </w:p>
    <w:p w14:paraId="652BC5CE" w14:textId="77777777" w:rsidR="003835AC" w:rsidRDefault="004A70D0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W związku z planowanym ogłoszeniem zamówienia Polska Agencja Rozwoju Przedsiębiorczości (PARP) </w:t>
      </w:r>
      <w:r w:rsidR="00777543">
        <w:rPr>
          <w:rFonts w:ascii="Arial" w:eastAsia="Times New Roman" w:hAnsi="Arial" w:cs="Arial"/>
          <w:sz w:val="24"/>
          <w:szCs w:val="24"/>
          <w:lang w:eastAsia="pl-PL"/>
        </w:rPr>
        <w:t>przedstawia Wstępny Opis Przedmiotu Zamówienia.</w:t>
      </w:r>
    </w:p>
    <w:p w14:paraId="5B506C4A" w14:textId="77777777" w:rsidR="004A70D0" w:rsidRPr="00C506B7" w:rsidRDefault="004A70D0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będzie świadczenie usługi polegającej na pozyskiwaniu 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zatrudnianiu kadry merytorycznej 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oraz wsparciu rekrutacji przedsiębiorców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na potrzeby</w:t>
      </w:r>
      <w:r w:rsidR="00105F5E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świadczenia kompleksowych usług doradczych na rzecz przedsiębiorstw biorących udział w I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105F5E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105F5E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Edycji programu Akademia Menadżera Innowacji (AMI)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. Celem głównym zamówienia planowanego do uruchomienia przez Polską Agencję Rozwoju Przedsiębiorczości jest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zapewnienie zaplecza kadrowego na potrzeby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realizacji programu Akademia Menadżera Innowacji (AMI) finansowanego w ramach Programu Operacyjnego Wiedza, Edukacja, Rozwój (POWER).</w:t>
      </w:r>
    </w:p>
    <w:p w14:paraId="375747C6" w14:textId="77777777" w:rsidR="004A70D0" w:rsidRPr="00C506B7" w:rsidRDefault="004A70D0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Program AMI ma na celu wyposażenie menadżerów przedsiębiorstw w kompetencje niezbędne do zarządzania procesem innowacyjnym. Przygotowany program służy przekazaniu wiedzy w zakresie procesów innowacyjnych i wykształceniu odpowiednich umiejętności stymulujących postawy innowacyjne w firmach, wdrażanie innowacji i umiejętności zarządzania nimi. Ma na celu wyposażenie kadry w przedsiębiorstwach w niezbędne kompetencje menedżerskie w zakresie zarządzania procesem innowacyjnym oraz portfelem innowacji. </w:t>
      </w:r>
    </w:p>
    <w:p w14:paraId="2A693832" w14:textId="46BE596C" w:rsidR="0030380A" w:rsidRPr="00C506B7" w:rsidRDefault="00966A43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A43">
        <w:rPr>
          <w:rFonts w:ascii="Arial" w:eastAsia="Times New Roman" w:hAnsi="Arial" w:cs="Arial"/>
          <w:sz w:val="24"/>
          <w:szCs w:val="24"/>
          <w:lang w:eastAsia="pl-PL"/>
        </w:rPr>
        <w:t>Realizacja programu jest wstępnie planowana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4A70D0" w:rsidRPr="00C506B7">
        <w:rPr>
          <w:rFonts w:ascii="Arial" w:eastAsia="Times New Roman" w:hAnsi="Arial" w:cs="Arial"/>
          <w:sz w:val="24"/>
          <w:szCs w:val="24"/>
          <w:lang w:eastAsia="pl-PL"/>
        </w:rPr>
        <w:t>podczas cyklicznych zjazdów (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4A70D0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dwudniowych zjazdów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i jednego jednodniowego</w:t>
      </w:r>
      <w:r w:rsidR="004A70D0" w:rsidRPr="00C506B7">
        <w:rPr>
          <w:rFonts w:ascii="Arial" w:eastAsia="Times New Roman" w:hAnsi="Arial" w:cs="Arial"/>
          <w:sz w:val="24"/>
          <w:szCs w:val="24"/>
          <w:lang w:eastAsia="pl-PL"/>
        </w:rPr>
        <w:t>) w okresie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19D91A9" w14:textId="77777777" w:rsidR="002A6A1F" w:rsidRPr="002A6A1F" w:rsidRDefault="002A6A1F" w:rsidP="002A6A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6A1F">
        <w:rPr>
          <w:rFonts w:ascii="Arial" w:eastAsia="Times New Roman" w:hAnsi="Arial" w:cs="Arial"/>
          <w:sz w:val="24"/>
          <w:szCs w:val="24"/>
          <w:lang w:eastAsia="pl-PL"/>
        </w:rPr>
        <w:t>- dla IV Edycji od listopada 2021 r. maksymalnie do 30 czerwca 2022 r.</w:t>
      </w:r>
    </w:p>
    <w:p w14:paraId="34E9BC6A" w14:textId="77777777" w:rsidR="002A6A1F" w:rsidRPr="002A6A1F" w:rsidRDefault="002A6A1F" w:rsidP="002A6A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6A1F">
        <w:rPr>
          <w:rFonts w:ascii="Arial" w:eastAsia="Times New Roman" w:hAnsi="Arial" w:cs="Arial"/>
          <w:sz w:val="24"/>
          <w:szCs w:val="24"/>
          <w:lang w:eastAsia="pl-PL"/>
        </w:rPr>
        <w:t>- dla V Edycji od marca 2022 r. maksymalnie do 30 listopada 2022 r.</w:t>
      </w:r>
    </w:p>
    <w:p w14:paraId="017FEF90" w14:textId="3DEA72DC" w:rsidR="00F56D89" w:rsidRDefault="00F56D89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Każda edycja będzie trwać 7- 8 miesięcy.</w:t>
      </w:r>
    </w:p>
    <w:p w14:paraId="05EDF4F2" w14:textId="0F795636" w:rsidR="004A70D0" w:rsidRPr="00C506B7" w:rsidRDefault="004A70D0" w:rsidP="00BB447F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Program AMI przewiduje realizację procesu szkoleniowego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i doradczego odbywającego się równolegle. Uczestnicy programu będą zdobywać wiedzę teoretyczną opartą na programie merytorycznym przekazywanym przez kadrę merytoryczn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podczas zajazdów oraz będą praktykować zdobytą wiedzę bezpośrednio w firmie przy wsparciu dedykowanego dla firmy doradcy. </w:t>
      </w:r>
    </w:p>
    <w:p w14:paraId="14DA9181" w14:textId="77777777" w:rsidR="004A70D0" w:rsidRPr="00C506B7" w:rsidRDefault="004A70D0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Ogólny zakres tematyczny programu AMI:</w:t>
      </w:r>
    </w:p>
    <w:p w14:paraId="200CAE13" w14:textId="77777777" w:rsidR="00655F07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kultura innowacyjności</w:t>
      </w:r>
    </w:p>
    <w:p w14:paraId="217EC8D3" w14:textId="77777777" w:rsidR="004A70D0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zrozumienie biznesu</w:t>
      </w:r>
    </w:p>
    <w:p w14:paraId="17EB09CA" w14:textId="77777777" w:rsidR="004A70D0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strategia</w:t>
      </w:r>
    </w:p>
    <w:p w14:paraId="2EE35AA2" w14:textId="77777777" w:rsidR="004A70D0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struktura organizacyjna przedsiębiorstwa</w:t>
      </w:r>
    </w:p>
    <w:p w14:paraId="6318C0EE" w14:textId="77777777" w:rsidR="004A70D0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potencjał i zasoby przedsiębiorstwa</w:t>
      </w:r>
    </w:p>
    <w:p w14:paraId="47AE609F" w14:textId="77777777" w:rsidR="004A70D0" w:rsidRPr="003835AC" w:rsidRDefault="004A70D0" w:rsidP="003835AC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procesy innowacyjne</w:t>
      </w:r>
    </w:p>
    <w:p w14:paraId="07BD9EC3" w14:textId="77777777" w:rsidR="0030380A" w:rsidRPr="00C506B7" w:rsidRDefault="004A70D0" w:rsidP="003835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realizacji usługi: 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listopad</w:t>
      </w: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0380A"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="0030380A"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czerwiec</w:t>
      </w: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0380A"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0380A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80A" w:rsidRPr="00C506B7">
        <w:rPr>
          <w:rFonts w:ascii="Arial" w:hAnsi="Arial" w:cs="Arial"/>
          <w:sz w:val="24"/>
          <w:szCs w:val="24"/>
        </w:rPr>
        <w:t xml:space="preserve">Ponadto Zamawiający przewiduje zastosowanie prawa opcji dla realizacji </w:t>
      </w:r>
      <w:r w:rsidR="002A6A1F">
        <w:rPr>
          <w:rFonts w:ascii="Arial" w:hAnsi="Arial" w:cs="Arial"/>
          <w:sz w:val="24"/>
          <w:szCs w:val="24"/>
        </w:rPr>
        <w:t>V</w:t>
      </w:r>
      <w:r w:rsidR="0030380A" w:rsidRPr="00C506B7">
        <w:rPr>
          <w:rFonts w:ascii="Arial" w:hAnsi="Arial" w:cs="Arial"/>
          <w:sz w:val="24"/>
          <w:szCs w:val="24"/>
        </w:rPr>
        <w:t xml:space="preserve"> Edycji. Realizacja </w:t>
      </w:r>
      <w:r w:rsidR="002A6A1F">
        <w:rPr>
          <w:rFonts w:ascii="Arial" w:hAnsi="Arial" w:cs="Arial"/>
          <w:sz w:val="24"/>
          <w:szCs w:val="24"/>
        </w:rPr>
        <w:t>V</w:t>
      </w:r>
      <w:r w:rsidR="0030380A" w:rsidRPr="00C506B7">
        <w:rPr>
          <w:rFonts w:ascii="Arial" w:hAnsi="Arial" w:cs="Arial"/>
          <w:sz w:val="24"/>
          <w:szCs w:val="24"/>
        </w:rPr>
        <w:t xml:space="preserve"> Edycji przewidziana jest od </w:t>
      </w:r>
      <w:r w:rsidR="002A6A1F">
        <w:rPr>
          <w:rFonts w:ascii="Arial" w:hAnsi="Arial" w:cs="Arial"/>
          <w:sz w:val="24"/>
          <w:szCs w:val="24"/>
        </w:rPr>
        <w:t>marca</w:t>
      </w:r>
      <w:r w:rsidR="0030380A" w:rsidRPr="00C506B7">
        <w:rPr>
          <w:rFonts w:ascii="Arial" w:hAnsi="Arial" w:cs="Arial"/>
          <w:sz w:val="24"/>
          <w:szCs w:val="24"/>
        </w:rPr>
        <w:t xml:space="preserve"> 202</w:t>
      </w:r>
      <w:r w:rsidR="002A6A1F">
        <w:rPr>
          <w:rFonts w:ascii="Arial" w:hAnsi="Arial" w:cs="Arial"/>
          <w:sz w:val="24"/>
          <w:szCs w:val="24"/>
        </w:rPr>
        <w:t>2</w:t>
      </w:r>
      <w:r w:rsidR="0030380A" w:rsidRPr="00C506B7">
        <w:rPr>
          <w:rFonts w:ascii="Arial" w:hAnsi="Arial" w:cs="Arial"/>
          <w:sz w:val="24"/>
          <w:szCs w:val="24"/>
        </w:rPr>
        <w:t xml:space="preserve"> r. maksymalnie do 3</w:t>
      </w:r>
      <w:r w:rsidR="002A6A1F">
        <w:rPr>
          <w:rFonts w:ascii="Arial" w:hAnsi="Arial" w:cs="Arial"/>
          <w:sz w:val="24"/>
          <w:szCs w:val="24"/>
        </w:rPr>
        <w:t>0</w:t>
      </w:r>
      <w:r w:rsidR="0030380A" w:rsidRPr="00C506B7">
        <w:rPr>
          <w:rFonts w:ascii="Arial" w:hAnsi="Arial" w:cs="Arial"/>
          <w:sz w:val="24"/>
          <w:szCs w:val="24"/>
        </w:rPr>
        <w:t xml:space="preserve"> </w:t>
      </w:r>
      <w:r w:rsidR="002A6A1F">
        <w:rPr>
          <w:rFonts w:ascii="Arial" w:hAnsi="Arial" w:cs="Arial"/>
          <w:sz w:val="24"/>
          <w:szCs w:val="24"/>
        </w:rPr>
        <w:t xml:space="preserve">listopada </w:t>
      </w:r>
      <w:r w:rsidR="0030380A" w:rsidRPr="00C506B7">
        <w:rPr>
          <w:rFonts w:ascii="Arial" w:hAnsi="Arial" w:cs="Arial"/>
          <w:sz w:val="24"/>
          <w:szCs w:val="24"/>
        </w:rPr>
        <w:t>202</w:t>
      </w:r>
      <w:r w:rsidR="002A6A1F">
        <w:rPr>
          <w:rFonts w:ascii="Arial" w:hAnsi="Arial" w:cs="Arial"/>
          <w:sz w:val="24"/>
          <w:szCs w:val="24"/>
        </w:rPr>
        <w:t>2</w:t>
      </w:r>
      <w:r w:rsidR="0030380A" w:rsidRPr="00C506B7">
        <w:rPr>
          <w:rFonts w:ascii="Arial" w:hAnsi="Arial" w:cs="Arial"/>
          <w:sz w:val="24"/>
          <w:szCs w:val="24"/>
        </w:rPr>
        <w:t xml:space="preserve"> r.</w:t>
      </w:r>
    </w:p>
    <w:p w14:paraId="10806101" w14:textId="77777777" w:rsidR="004A70D0" w:rsidRPr="003835AC" w:rsidRDefault="004A70D0" w:rsidP="003835A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Usługa w szczególności będzie polegała na pozyskiwaniu oraz kontraktowaniu na potrzeby Z</w:t>
      </w:r>
      <w:r w:rsidR="00F36E27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amawiającego</w:t>
      </w:r>
      <w:r w:rsidR="007D1B04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kadry merytorycznej tj.</w:t>
      </w:r>
      <w:r w:rsidR="00F36E27" w:rsidRPr="003835A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1625C0" w14:textId="77777777" w:rsidR="004A70D0" w:rsidRPr="00C506B7" w:rsidRDefault="004A70D0" w:rsidP="003835AC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doradców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posiadających kwalifikacje (np. doradcy, trenera, mentora, </w:t>
      </w:r>
      <w:proofErr w:type="spellStart"/>
      <w:r w:rsidRPr="00C506B7">
        <w:rPr>
          <w:rFonts w:ascii="Arial" w:eastAsia="Times New Roman" w:hAnsi="Arial" w:cs="Arial"/>
          <w:sz w:val="24"/>
          <w:szCs w:val="24"/>
          <w:lang w:eastAsia="pl-PL"/>
        </w:rPr>
        <w:t>coacha</w:t>
      </w:r>
      <w:proofErr w:type="spellEnd"/>
      <w:r w:rsidRPr="00C506B7">
        <w:rPr>
          <w:rFonts w:ascii="Arial" w:eastAsia="Times New Roman" w:hAnsi="Arial" w:cs="Arial"/>
          <w:sz w:val="24"/>
          <w:szCs w:val="24"/>
          <w:lang w:eastAsia="pl-PL"/>
        </w:rPr>
        <w:t>) do prowadzenia doradztwa związanego z realizacją programu AMI. Posiadających praktyczne doświadczenia w obszarze doradztwa dla firm, szczególnie w zakresie zarzadzania innowacjami.</w:t>
      </w:r>
    </w:p>
    <w:p w14:paraId="74B30E0A" w14:textId="77777777" w:rsidR="001B0E02" w:rsidRPr="003835AC" w:rsidRDefault="004A70D0" w:rsidP="003835A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Do zadań Wykonawcy będzie należało</w:t>
      </w:r>
      <w:r w:rsidR="001B0E02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prowadzenie</w:t>
      </w:r>
      <w:r w:rsidR="001B0E02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procesu</w:t>
      </w:r>
      <w:r w:rsidR="001B0E02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związanego</w:t>
      </w:r>
      <w:r w:rsidR="001B0E02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z zakontraktowaniem kadry merytorycznej, w tym:</w:t>
      </w:r>
    </w:p>
    <w:p w14:paraId="142E86ED" w14:textId="77777777" w:rsidR="001B0E02" w:rsidRPr="00C506B7" w:rsidRDefault="004A70D0" w:rsidP="003835AC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rozlicznie zobowiązań wynikających z zawartych kontraktów;</w:t>
      </w:r>
    </w:p>
    <w:p w14:paraId="57FAFE26" w14:textId="77777777" w:rsidR="001B0E02" w:rsidRPr="00C506B7" w:rsidRDefault="004A70D0" w:rsidP="003835AC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niezbędna obsługa zakontraktowanej kadry związanej z dojazdem oraz zakwaterowaniem kadry (rozlicznie kosztów dojazdów, rezerwowanie noclegów oraz rozlicznie kosztów noclegów). </w:t>
      </w:r>
    </w:p>
    <w:p w14:paraId="52F4DFA8" w14:textId="77777777" w:rsidR="001B0E02" w:rsidRPr="00C506B7" w:rsidRDefault="004A70D0" w:rsidP="003835A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Koszty</w:t>
      </w:r>
      <w:r w:rsidR="00F36E27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249F">
        <w:rPr>
          <w:rFonts w:ascii="Arial" w:eastAsia="Times New Roman" w:hAnsi="Arial" w:cs="Arial"/>
          <w:sz w:val="24"/>
          <w:szCs w:val="24"/>
          <w:lang w:eastAsia="pl-PL"/>
        </w:rPr>
        <w:t>związane z zakontraktowaniem kadry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oraz obsługą logistyczną związaną z dojazdem oraz zakwaterowaniem ponosi Zamawiający.</w:t>
      </w:r>
    </w:p>
    <w:p w14:paraId="1735006F" w14:textId="77777777" w:rsidR="001B0E02" w:rsidRPr="00C506B7" w:rsidRDefault="004A70D0" w:rsidP="003835A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Zamawiający przedstawi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Wykonawcy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oczekiwane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do zakontraktowania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wynagrodzenie brutto poszczególnych członków kadry, o których jest mowa w pkt.1.</w:t>
      </w:r>
    </w:p>
    <w:p w14:paraId="675E51FA" w14:textId="77777777" w:rsidR="001B0E02" w:rsidRDefault="004A70D0" w:rsidP="003835A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Zamawiający będzie zatwierdzał listę proponowanych przez Wykonawcę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członków kadry merytorycznej, Wykonawca będzie odpowiadał za terminowe rozlicznie zobowiązań wynikających z tytułu zwartych umów z uczestnikami kadry AMI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7BD1BE" w14:textId="77777777" w:rsidR="001B0E02" w:rsidRPr="003835AC" w:rsidRDefault="004A70D0" w:rsidP="00031D90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Do zadań kadry merytorycznej AMI będzie</w:t>
      </w:r>
      <w:r w:rsidR="001B0E02"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sz w:val="24"/>
          <w:szCs w:val="24"/>
          <w:lang w:eastAsia="pl-PL"/>
        </w:rPr>
        <w:t>należało:</w:t>
      </w:r>
    </w:p>
    <w:p w14:paraId="312A2B69" w14:textId="77777777" w:rsidR="001B0E02" w:rsidRPr="00C506B7" w:rsidRDefault="004A70D0" w:rsidP="00031D90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Doradca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: praca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z firmami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uczestniczącymi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w programie AMI, przeprowadzanie spotkań informacyjnych wewnątrz firmy na temat realizowanego programu, uczestniczenie i nadzór nad przebiegiem pracy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uczestników programu nad wyznaczonymi zadaniami, współpraca z kierownictwem firmy, prowadzenie doradztwa;</w:t>
      </w:r>
    </w:p>
    <w:p w14:paraId="39D01643" w14:textId="77777777" w:rsidR="001B0E02" w:rsidRPr="003835AC" w:rsidRDefault="004A70D0" w:rsidP="00031D90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Zaangażowanie czasowe programu AMI oraz liczebność kadry</w:t>
      </w:r>
      <w:r w:rsidR="007D1B04" w:rsidRPr="003835A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1B0E02"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EF2EE3D" w14:textId="3CECFE27" w:rsidR="001B0E02" w:rsidRPr="00C506B7" w:rsidRDefault="004A70D0" w:rsidP="00031D90">
      <w:pPr>
        <w:spacing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Zamawiający przewiduje realizację programu merytorycznego AMI w ramach I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równoległych ścieżek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szkoleniowej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(realizowanej w ramach odrębnego postępowania)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i doradczej w ramach 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około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7-8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miesięcznego cyklu</w:t>
      </w:r>
      <w:r w:rsidR="00966A43">
        <w:rPr>
          <w:rFonts w:ascii="Arial" w:eastAsia="Times New Roman" w:hAnsi="Arial" w:cs="Arial"/>
          <w:sz w:val="24"/>
          <w:szCs w:val="24"/>
          <w:lang w:eastAsia="pl-PL"/>
        </w:rPr>
        <w:t xml:space="preserve">, w formie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2 dniowych zjazdów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nie więcej niż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2 dni miesięcznie) prowadzonych od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dla I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Edycji programu AMI oraz od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>r. dla Edycji I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programu AMI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>oraz podczas indywidualnej pracy uczestników bezpośrednio w firmie przy udziale dedykowanych doradców.</w:t>
      </w:r>
    </w:p>
    <w:p w14:paraId="48AA9B90" w14:textId="77777777" w:rsidR="001B0E02" w:rsidRPr="003835AC" w:rsidRDefault="004A70D0" w:rsidP="00031D90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>Przewiduje się następujące zaangażowanie</w:t>
      </w:r>
      <w:r w:rsidR="001B0E02"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kadry </w:t>
      </w:r>
    </w:p>
    <w:p w14:paraId="541EB176" w14:textId="77777777" w:rsidR="001B0E02" w:rsidRPr="00C506B7" w:rsidRDefault="004A70D0" w:rsidP="003835AC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Doradca:</w:t>
      </w:r>
      <w:r w:rsidR="001B0E0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praca maksymalnie z 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firmami bezpośrednio w firmie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50h pracy z </w:t>
      </w:r>
      <w:r w:rsidR="0025428D" w:rsidRPr="00C506B7">
        <w:rPr>
          <w:rFonts w:ascii="Arial" w:eastAsia="Times New Roman" w:hAnsi="Arial" w:cs="Arial"/>
          <w:sz w:val="24"/>
          <w:szCs w:val="24"/>
          <w:lang w:eastAsia="pl-PL"/>
        </w:rPr>
        <w:t>mikro przedsiębiorcą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w całym cyklu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4962" w:rsidRPr="00C506B7">
        <w:rPr>
          <w:rFonts w:ascii="Arial" w:eastAsia="Times New Roman" w:hAnsi="Arial" w:cs="Arial"/>
          <w:sz w:val="24"/>
          <w:szCs w:val="24"/>
          <w:lang w:eastAsia="pl-PL"/>
        </w:rPr>
        <w:t>120h dla MSP i dużych przedsiębiorców w całym cyklu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jak również 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>z mikro przedsiębiorc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 xml:space="preserve"> jeśli przedsiębiorca wyrazi potrzebę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 zwiększonej liczby godzin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8AE704" w14:textId="05F61EAA" w:rsidR="001B0E02" w:rsidRPr="003835AC" w:rsidRDefault="004A70D0" w:rsidP="003835AC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Liczebność: </w:t>
      </w:r>
      <w:r w:rsidR="00C935FE"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maksimum </w:t>
      </w:r>
      <w:r w:rsidR="003D319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A6A1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doradców –</w:t>
      </w:r>
      <w:r w:rsidR="00094962" w:rsidRPr="00383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5AC">
        <w:rPr>
          <w:rFonts w:ascii="Arial" w:eastAsia="Times New Roman" w:hAnsi="Arial" w:cs="Arial"/>
          <w:sz w:val="24"/>
          <w:szCs w:val="24"/>
          <w:lang w:eastAsia="pl-PL"/>
        </w:rPr>
        <w:t>cały cykl pracy w firmie</w:t>
      </w:r>
      <w:r w:rsidR="00F23222">
        <w:rPr>
          <w:rFonts w:ascii="Arial" w:eastAsia="Times New Roman" w:hAnsi="Arial" w:cs="Arial"/>
          <w:sz w:val="24"/>
          <w:szCs w:val="24"/>
          <w:lang w:eastAsia="pl-PL"/>
        </w:rPr>
        <w:t xml:space="preserve"> w danej ed</w:t>
      </w:r>
      <w:r w:rsidR="001C4ACA">
        <w:rPr>
          <w:rFonts w:ascii="Arial" w:eastAsia="Times New Roman" w:hAnsi="Arial" w:cs="Arial"/>
          <w:sz w:val="24"/>
          <w:szCs w:val="24"/>
          <w:lang w:eastAsia="pl-PL"/>
        </w:rPr>
        <w:t>ycji</w:t>
      </w:r>
    </w:p>
    <w:p w14:paraId="43CD548D" w14:textId="55240AFA" w:rsidR="001B0E02" w:rsidRPr="003835AC" w:rsidRDefault="00031D90" w:rsidP="00031D90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Pozostałe </w:t>
      </w:r>
      <w:r w:rsidR="0025428D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>zada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nia</w:t>
      </w:r>
      <w:r w:rsidR="0025428D" w:rsidRPr="00383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Wykonawcy:</w:t>
      </w:r>
    </w:p>
    <w:p w14:paraId="373185BB" w14:textId="77777777" w:rsidR="0025428D" w:rsidRPr="00C506B7" w:rsidRDefault="00D04259" w:rsidP="003835AC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Rekrutacja przedsiębiorców:</w:t>
      </w:r>
    </w:p>
    <w:p w14:paraId="01E42EFA" w14:textId="41A43889" w:rsidR="00D04259" w:rsidRPr="00C506B7" w:rsidRDefault="00D04259" w:rsidP="003835AC">
      <w:pPr>
        <w:spacing w:line="36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>Wykonawca będzie wspierał Zamawiającego w realizacji procesu rekrutacji przedsiębiorstw i Uczestników programu AMI oraz  świadczy</w:t>
      </w:r>
      <w:r w:rsidR="001C4AC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na ich rzecz  usługi doradcze</w:t>
      </w:r>
      <w:r w:rsidR="001C4AC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66A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06B7">
        <w:rPr>
          <w:rFonts w:ascii="Arial" w:hAnsi="Arial" w:cs="Arial"/>
          <w:sz w:val="24"/>
          <w:szCs w:val="24"/>
        </w:rPr>
        <w:t>aktywnie prowadzi</w:t>
      </w:r>
      <w:r w:rsidR="001C4ACA">
        <w:rPr>
          <w:rFonts w:ascii="Arial" w:hAnsi="Arial" w:cs="Arial"/>
          <w:sz w:val="24"/>
          <w:szCs w:val="24"/>
        </w:rPr>
        <w:t xml:space="preserve">ł </w:t>
      </w:r>
      <w:r w:rsidRPr="00C506B7">
        <w:rPr>
          <w:rFonts w:ascii="Arial" w:hAnsi="Arial" w:cs="Arial"/>
          <w:sz w:val="24"/>
          <w:szCs w:val="24"/>
        </w:rPr>
        <w:t xml:space="preserve"> działania rekrutacyjne, z wykorzystaniem własnych środków i zasobów, mających na celu złożenie przez przedsiębiorstwa wniosków rekrutacyjnych w systemie udostępnionym przez Zamawiającego.</w:t>
      </w:r>
    </w:p>
    <w:p w14:paraId="29EAF0B5" w14:textId="77777777" w:rsidR="0025428D" w:rsidRPr="00C506B7" w:rsidRDefault="0025428D" w:rsidP="003835AC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>zapewnienie kompleksowej obsługi administracyjnej przedsiębiorstw biorących udział w I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</w:t>
      </w:r>
      <w:r w:rsidR="002A6A1F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Pr="00C506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Edycji programu AMI</w:t>
      </w:r>
    </w:p>
    <w:p w14:paraId="352118F6" w14:textId="2F59177D" w:rsidR="0025428D" w:rsidRPr="00C506B7" w:rsidRDefault="0025428D" w:rsidP="003835AC">
      <w:pPr>
        <w:spacing w:line="36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</w:t>
      </w:r>
      <w:r w:rsidR="001C4ACA">
        <w:rPr>
          <w:rFonts w:ascii="Arial" w:eastAsia="Times New Roman" w:hAnsi="Arial" w:cs="Arial"/>
          <w:sz w:val="24"/>
          <w:szCs w:val="24"/>
          <w:lang w:eastAsia="pl-PL"/>
        </w:rPr>
        <w:t xml:space="preserve">zobowiązany 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podpisać umowę na świadczenie usług doradczych w ramach programu AMI z każdym przedsiębiorstwem zakwalifikowanym do udziału w programie AMI </w:t>
      </w:r>
      <w:r w:rsidR="00F51AE8" w:rsidRPr="00C506B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50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1AE8" w:rsidRPr="00C506B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C506B7">
        <w:rPr>
          <w:rFonts w:ascii="Arial" w:hAnsi="Arial" w:cs="Arial"/>
          <w:sz w:val="24"/>
          <w:szCs w:val="24"/>
        </w:rPr>
        <w:t xml:space="preserve"> trakcie realizacji programu i korzystania przez przedsiębiorstwo z usług doradczych, Wykonawca będzie zobowiązany do </w:t>
      </w:r>
      <w:r w:rsidR="00F23222">
        <w:rPr>
          <w:rFonts w:ascii="Arial" w:hAnsi="Arial" w:cs="Arial"/>
          <w:sz w:val="24"/>
          <w:szCs w:val="24"/>
        </w:rPr>
        <w:t>monitorowania</w:t>
      </w:r>
      <w:r w:rsidRPr="00C506B7">
        <w:rPr>
          <w:rFonts w:ascii="Arial" w:hAnsi="Arial" w:cs="Arial"/>
          <w:sz w:val="24"/>
          <w:szCs w:val="24"/>
        </w:rPr>
        <w:t xml:space="preserve"> (w trybie ciągłym), czy przedsiębiorstwo spełnia warunki udzielenia mu</w:t>
      </w:r>
      <w:r w:rsidR="00F51AE8" w:rsidRPr="00C506B7">
        <w:rPr>
          <w:rFonts w:ascii="Arial" w:hAnsi="Arial" w:cs="Arial"/>
          <w:sz w:val="24"/>
          <w:szCs w:val="24"/>
        </w:rPr>
        <w:t xml:space="preserve"> wsparcia.</w:t>
      </w:r>
    </w:p>
    <w:sectPr w:rsidR="0025428D" w:rsidRPr="00C506B7" w:rsidSect="00C506B7">
      <w:headerReference w:type="default" r:id="rId9"/>
      <w:pgSz w:w="11906" w:h="16838"/>
      <w:pgMar w:top="426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9665" w14:textId="77777777" w:rsidR="00D62BE9" w:rsidRDefault="00D62BE9" w:rsidP="001C6B8E">
      <w:pPr>
        <w:spacing w:after="0" w:line="240" w:lineRule="auto"/>
      </w:pPr>
      <w:r>
        <w:separator/>
      </w:r>
    </w:p>
  </w:endnote>
  <w:endnote w:type="continuationSeparator" w:id="0">
    <w:p w14:paraId="49F2AA53" w14:textId="77777777" w:rsidR="00D62BE9" w:rsidRDefault="00D62BE9" w:rsidP="001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4F75" w14:textId="77777777" w:rsidR="00D62BE9" w:rsidRDefault="00D62BE9" w:rsidP="001C6B8E">
      <w:pPr>
        <w:spacing w:after="0" w:line="240" w:lineRule="auto"/>
      </w:pPr>
      <w:r>
        <w:separator/>
      </w:r>
    </w:p>
  </w:footnote>
  <w:footnote w:type="continuationSeparator" w:id="0">
    <w:p w14:paraId="62308282" w14:textId="77777777" w:rsidR="00D62BE9" w:rsidRDefault="00D62BE9" w:rsidP="001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088014"/>
      <w:docPartObj>
        <w:docPartGallery w:val="Page Numbers (Top of Page)"/>
        <w:docPartUnique/>
      </w:docPartObj>
    </w:sdtPr>
    <w:sdtEndPr/>
    <w:sdtContent>
      <w:p w14:paraId="3A60962C" w14:textId="02C22BD3" w:rsidR="00890CE7" w:rsidRDefault="00890CE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9F">
          <w:rPr>
            <w:noProof/>
          </w:rPr>
          <w:t>2</w:t>
        </w:r>
        <w:r>
          <w:fldChar w:fldCharType="end"/>
        </w:r>
      </w:p>
    </w:sdtContent>
  </w:sdt>
  <w:p w14:paraId="266DF6B8" w14:textId="77777777" w:rsidR="00890CE7" w:rsidRDefault="00890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688"/>
    <w:multiLevelType w:val="multilevel"/>
    <w:tmpl w:val="5D6A1A6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395B3B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588"/>
    <w:multiLevelType w:val="hybridMultilevel"/>
    <w:tmpl w:val="EB42F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A2651"/>
    <w:multiLevelType w:val="hybridMultilevel"/>
    <w:tmpl w:val="D9948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352B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F0B3D"/>
    <w:multiLevelType w:val="hybridMultilevel"/>
    <w:tmpl w:val="910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939A1"/>
    <w:multiLevelType w:val="hybridMultilevel"/>
    <w:tmpl w:val="24CE4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7DE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F0689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3573F3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A25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476D9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F2EA4"/>
    <w:multiLevelType w:val="hybridMultilevel"/>
    <w:tmpl w:val="3BCC8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D0"/>
    <w:rsid w:val="00031D90"/>
    <w:rsid w:val="00094962"/>
    <w:rsid w:val="00105F5E"/>
    <w:rsid w:val="001B0E02"/>
    <w:rsid w:val="001B249F"/>
    <w:rsid w:val="001C4ACA"/>
    <w:rsid w:val="001C6B8E"/>
    <w:rsid w:val="001F46C3"/>
    <w:rsid w:val="0025428D"/>
    <w:rsid w:val="00262E2F"/>
    <w:rsid w:val="002A6A1F"/>
    <w:rsid w:val="0030380A"/>
    <w:rsid w:val="003835AC"/>
    <w:rsid w:val="003D319A"/>
    <w:rsid w:val="00484F41"/>
    <w:rsid w:val="004A70D0"/>
    <w:rsid w:val="004C4E38"/>
    <w:rsid w:val="004C6F33"/>
    <w:rsid w:val="00517E1B"/>
    <w:rsid w:val="00540983"/>
    <w:rsid w:val="005C4DE7"/>
    <w:rsid w:val="00625B7B"/>
    <w:rsid w:val="00655F07"/>
    <w:rsid w:val="00685CC0"/>
    <w:rsid w:val="0071358E"/>
    <w:rsid w:val="00777543"/>
    <w:rsid w:val="007933C1"/>
    <w:rsid w:val="007D1B04"/>
    <w:rsid w:val="00890CE7"/>
    <w:rsid w:val="00902426"/>
    <w:rsid w:val="00966A43"/>
    <w:rsid w:val="00A079B8"/>
    <w:rsid w:val="00BB447F"/>
    <w:rsid w:val="00BB5EF1"/>
    <w:rsid w:val="00C506B7"/>
    <w:rsid w:val="00C935FE"/>
    <w:rsid w:val="00D04259"/>
    <w:rsid w:val="00D13590"/>
    <w:rsid w:val="00D166E3"/>
    <w:rsid w:val="00D62BE9"/>
    <w:rsid w:val="00D67AA0"/>
    <w:rsid w:val="00D80D11"/>
    <w:rsid w:val="00D91ABD"/>
    <w:rsid w:val="00E42224"/>
    <w:rsid w:val="00F23222"/>
    <w:rsid w:val="00F36E27"/>
    <w:rsid w:val="00F51AE8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064E8"/>
  <w15:chartTrackingRefBased/>
  <w15:docId w15:val="{CF8CE8D4-620C-44DE-B80D-B3BFF59E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380A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30380A"/>
    <w:pPr>
      <w:widowControl w:val="0"/>
      <w:autoSpaceDE w:val="0"/>
      <w:autoSpaceDN w:val="0"/>
      <w:spacing w:before="69" w:after="0" w:line="240" w:lineRule="auto"/>
      <w:ind w:left="472" w:hanging="227"/>
    </w:pPr>
    <w:rPr>
      <w:rFonts w:ascii="Times New Roman" w:eastAsia="Times New Roman" w:hAnsi="Times New Roman" w:cs="Times New Roman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F36E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04259"/>
  </w:style>
  <w:style w:type="paragraph" w:styleId="Nagwek">
    <w:name w:val="header"/>
    <w:basedOn w:val="Normalny"/>
    <w:link w:val="Nagwek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8E"/>
  </w:style>
  <w:style w:type="paragraph" w:styleId="Stopka">
    <w:name w:val="footer"/>
    <w:basedOn w:val="Normalny"/>
    <w:link w:val="Stopka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8E"/>
  </w:style>
  <w:style w:type="character" w:styleId="Odwoaniedokomentarza">
    <w:name w:val="annotation reference"/>
    <w:uiPriority w:val="99"/>
    <w:unhideWhenUsed/>
    <w:qFormat/>
    <w:rsid w:val="002A6A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6A1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6A1F"/>
    <w:pPr>
      <w:spacing w:after="0" w:line="320" w:lineRule="exact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2A6A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1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F41"/>
    <w:pPr>
      <w:spacing w:after="160" w:line="240" w:lineRule="auto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F41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44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5962-7C43-4EA1-A762-BC849D7D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Wstępny OPZ</dc:title>
  <dc:subject/>
  <dc:creator>Kukla Marcin</dc:creator>
  <cp:keywords>PARP,PL</cp:keywords>
  <dc:description/>
  <cp:lastModifiedBy>Kukla Marcin</cp:lastModifiedBy>
  <cp:revision>3</cp:revision>
  <dcterms:created xsi:type="dcterms:W3CDTF">2021-05-24T15:23:00Z</dcterms:created>
  <dcterms:modified xsi:type="dcterms:W3CDTF">2021-05-24T15:23:00Z</dcterms:modified>
</cp:coreProperties>
</file>